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0"/>
      </w:tblGrid>
      <w:tr w:rsidR="00354CCE" w:rsidTr="00354CCE">
        <w:trPr>
          <w:trHeight w:val="5040"/>
        </w:trPr>
        <w:tc>
          <w:tcPr>
            <w:tcW w:w="0" w:type="auto"/>
            <w:hideMark/>
          </w:tcPr>
          <w:p w:rsidR="00354CCE" w:rsidRDefault="00354CCE">
            <w:pPr>
              <w:pStyle w:val="Heading2"/>
              <w:rPr>
                <w:rFonts w:ascii="Arial" w:eastAsia="Times New Roman" w:hAnsi="Arial" w:cs="Arial"/>
                <w:color w:val="000000"/>
              </w:rPr>
            </w:pPr>
            <w:r>
              <w:rPr>
                <w:rFonts w:ascii="Arial" w:eastAsia="Times New Roman" w:hAnsi="Arial" w:cs="Arial"/>
                <w:color w:val="000000"/>
              </w:rPr>
              <w:t>2019 Proposed Medicare Payment Rule Released</w:t>
            </w:r>
          </w:p>
          <w:p w:rsidR="00354CCE" w:rsidRDefault="00354CCE">
            <w:pPr>
              <w:spacing w:before="240" w:after="240" w:line="360" w:lineRule="auto"/>
              <w:rPr>
                <w:rFonts w:ascii="Arial" w:hAnsi="Arial" w:cs="Arial"/>
                <w:color w:val="36424A"/>
                <w:sz w:val="22"/>
                <w:szCs w:val="22"/>
              </w:rPr>
            </w:pPr>
            <w:r>
              <w:rPr>
                <w:rFonts w:ascii="Arial" w:hAnsi="Arial" w:cs="Arial"/>
                <w:color w:val="36424A"/>
                <w:sz w:val="22"/>
                <w:szCs w:val="22"/>
              </w:rPr>
              <w:t>The Centers for Medicare &amp; Medicaid Services (CMS) released the 2019 proposed payment rule for ASCs and hospital outpatient departments (HOPDs) today. Of note, CMS has addressed a number of long-requested ASCA priorities, including proposing to align update factors, moving ASCs to the hospital market basket that is used to update HOPD payments. Under the proposal, CMS would use the hospital market basket to update ASC payments for the five-year period of calendar year (CY) 2019 through CY 2023.</w:t>
            </w:r>
          </w:p>
          <w:p w:rsidR="00354CCE" w:rsidRDefault="00354CCE">
            <w:pPr>
              <w:spacing w:before="240" w:after="240" w:line="360" w:lineRule="auto"/>
              <w:rPr>
                <w:rFonts w:ascii="Arial" w:hAnsi="Arial" w:cs="Arial"/>
                <w:color w:val="36424A"/>
                <w:sz w:val="22"/>
                <w:szCs w:val="22"/>
              </w:rPr>
            </w:pPr>
            <w:r>
              <w:rPr>
                <w:rFonts w:ascii="Arial" w:hAnsi="Arial" w:cs="Arial"/>
                <w:color w:val="36424A"/>
                <w:sz w:val="22"/>
                <w:szCs w:val="22"/>
              </w:rPr>
              <w:t>“We are grateful that CMS, after years of urging by ASCA, is proposing to measure inflation in ASCs by using the hospital market basket,” said ASCA CEO Bill Prentice. “ASCs use the same staff, services and supplies as hospital outpatient departments so it only makes sense to apply the same inflation rate for our yearly updates.”</w:t>
            </w:r>
          </w:p>
        </w:tc>
      </w:tr>
      <w:tr w:rsidR="00354CCE" w:rsidTr="00354CCE">
        <w:tc>
          <w:tcPr>
            <w:tcW w:w="0" w:type="auto"/>
            <w:hideMark/>
          </w:tcPr>
          <w:p w:rsidR="00354CCE" w:rsidRDefault="00354CCE">
            <w:pPr>
              <w:jc w:val="center"/>
              <w:rPr>
                <w:rFonts w:eastAsia="Times New Roman"/>
                <w:sz w:val="20"/>
                <w:szCs w:val="20"/>
              </w:rPr>
            </w:pPr>
          </w:p>
        </w:tc>
      </w:tr>
      <w:tr w:rsidR="00354CCE" w:rsidTr="00354CCE">
        <w:tc>
          <w:tcPr>
            <w:tcW w:w="0" w:type="auto"/>
            <w:hideMark/>
          </w:tcPr>
          <w:p w:rsidR="00354CCE" w:rsidRDefault="00354CCE">
            <w:pPr>
              <w:spacing w:before="240" w:after="240" w:line="360" w:lineRule="auto"/>
              <w:rPr>
                <w:rFonts w:ascii="Arial" w:hAnsi="Arial" w:cs="Arial"/>
                <w:color w:val="36424A"/>
                <w:sz w:val="22"/>
                <w:szCs w:val="22"/>
              </w:rPr>
            </w:pPr>
            <w:r>
              <w:rPr>
                <w:rStyle w:val="Strong"/>
                <w:rFonts w:ascii="Arial" w:hAnsi="Arial" w:cs="Arial"/>
                <w:color w:val="36424A"/>
                <w:sz w:val="22"/>
                <w:szCs w:val="22"/>
              </w:rPr>
              <w:t>2% Average Rate Update</w:t>
            </w:r>
          </w:p>
          <w:p w:rsidR="00354CCE" w:rsidRDefault="00354CCE">
            <w:pPr>
              <w:spacing w:before="240" w:after="240" w:line="360" w:lineRule="auto"/>
              <w:rPr>
                <w:rFonts w:ascii="Arial" w:hAnsi="Arial" w:cs="Arial"/>
                <w:color w:val="36424A"/>
                <w:sz w:val="22"/>
                <w:szCs w:val="22"/>
              </w:rPr>
            </w:pPr>
            <w:r>
              <w:rPr>
                <w:rFonts w:ascii="Arial" w:hAnsi="Arial" w:cs="Arial"/>
                <w:color w:val="36424A"/>
                <w:sz w:val="22"/>
                <w:szCs w:val="22"/>
              </w:rPr>
              <w:t>If the proposed rule were to be finalized as drafted, ASCs would see, on average over all covered procedures, an effective update of 2.0 percent—a combination of a 2.8 percent inflation update based on the hospital market basket and a productivity reduction mandated by the Affordable Care Act of 0.8 percentage point. Please note that this is an average, and that updates may vary significantly by code and specialty. It is also important to note that CMS does not consider sequestration in its proposed rule. This statutory 2 percent reduction remains in effect until at least 2024 unless Congress acts.</w:t>
            </w:r>
          </w:p>
          <w:tbl>
            <w:tblPr>
              <w:tblW w:w="5000" w:type="pct"/>
              <w:tblCellMar>
                <w:left w:w="0" w:type="dxa"/>
                <w:right w:w="0" w:type="dxa"/>
              </w:tblCellMar>
              <w:tblLook w:val="04A0" w:firstRow="1" w:lastRow="0" w:firstColumn="1" w:lastColumn="0" w:noHBand="0" w:noVBand="1"/>
            </w:tblPr>
            <w:tblGrid>
              <w:gridCol w:w="9360"/>
            </w:tblGrid>
            <w:tr w:rsidR="00354CCE" w:rsidTr="00B1285B">
              <w:tc>
                <w:tcPr>
                  <w:tcW w:w="0" w:type="auto"/>
                  <w:hideMark/>
                </w:tcPr>
                <w:p w:rsidR="00354CCE" w:rsidRDefault="00354CCE" w:rsidP="00B1285B">
                  <w:pPr>
                    <w:spacing w:before="240" w:after="240" w:line="360" w:lineRule="auto"/>
                    <w:rPr>
                      <w:rFonts w:ascii="Arial" w:hAnsi="Arial" w:cs="Arial"/>
                      <w:color w:val="36424A"/>
                      <w:sz w:val="22"/>
                      <w:szCs w:val="22"/>
                    </w:rPr>
                  </w:pPr>
                  <w:r>
                    <w:rPr>
                      <w:rStyle w:val="Strong"/>
                      <w:rFonts w:ascii="Arial" w:hAnsi="Arial" w:cs="Arial"/>
                      <w:color w:val="36424A"/>
                      <w:sz w:val="22"/>
                      <w:szCs w:val="22"/>
                    </w:rPr>
                    <w:t>Lower Device Intensive Procedure Threshold Proposed</w:t>
                  </w:r>
                </w:p>
                <w:p w:rsidR="00354CCE" w:rsidRDefault="00354CCE" w:rsidP="00B1285B">
                  <w:pPr>
                    <w:spacing w:before="240" w:after="240" w:line="360" w:lineRule="auto"/>
                    <w:rPr>
                      <w:rFonts w:ascii="Arial" w:hAnsi="Arial" w:cs="Arial"/>
                      <w:color w:val="36424A"/>
                      <w:sz w:val="22"/>
                      <w:szCs w:val="22"/>
                    </w:rPr>
                  </w:pPr>
                  <w:r>
                    <w:rPr>
                      <w:rFonts w:ascii="Arial" w:hAnsi="Arial" w:cs="Arial"/>
                      <w:color w:val="36424A"/>
                      <w:sz w:val="22"/>
                      <w:szCs w:val="22"/>
                    </w:rPr>
                    <w:t>CMS is also proposing to define ASC device-intensive procedures as those procedures with a device offset percentage greater than 30 percent based on the standard OPPS APC rate-setting methodology. The current threshold is 40 percent, and ASCA has advocated strongly for a lower threshold.</w:t>
                  </w:r>
                </w:p>
                <w:p w:rsidR="00354CCE" w:rsidRDefault="00354CCE" w:rsidP="00B1285B">
                  <w:pPr>
                    <w:spacing w:before="240" w:after="240" w:line="360" w:lineRule="auto"/>
                    <w:rPr>
                      <w:rFonts w:ascii="Arial" w:hAnsi="Arial" w:cs="Arial"/>
                      <w:color w:val="36424A"/>
                      <w:sz w:val="22"/>
                      <w:szCs w:val="22"/>
                    </w:rPr>
                  </w:pPr>
                  <w:r>
                    <w:rPr>
                      <w:rStyle w:val="Strong"/>
                      <w:rFonts w:ascii="Arial" w:hAnsi="Arial" w:cs="Arial"/>
                      <w:color w:val="36424A"/>
                      <w:sz w:val="22"/>
                      <w:szCs w:val="22"/>
                    </w:rPr>
                    <w:t>Proposed Changes to List of ASC Covered Surgical Procedures</w:t>
                  </w:r>
                </w:p>
                <w:p w:rsidR="00354CCE" w:rsidRDefault="00354CCE" w:rsidP="00B1285B">
                  <w:pPr>
                    <w:spacing w:before="240" w:after="240" w:line="360" w:lineRule="auto"/>
                    <w:rPr>
                      <w:rFonts w:ascii="Arial" w:hAnsi="Arial" w:cs="Arial"/>
                      <w:color w:val="36424A"/>
                      <w:sz w:val="22"/>
                      <w:szCs w:val="22"/>
                    </w:rPr>
                  </w:pPr>
                  <w:r>
                    <w:rPr>
                      <w:rFonts w:ascii="Arial" w:hAnsi="Arial" w:cs="Arial"/>
                      <w:color w:val="36424A"/>
                      <w:sz w:val="22"/>
                      <w:szCs w:val="22"/>
                    </w:rPr>
                    <w:t xml:space="preserve">CMS is proposing to revise their definition of “surgery” in the ASC payment system to account for certain “surgery-like” procedures that are assigned codes outside the Current Procedural </w:t>
                  </w:r>
                  <w:r>
                    <w:rPr>
                      <w:rFonts w:ascii="Arial" w:hAnsi="Arial" w:cs="Arial"/>
                      <w:color w:val="36424A"/>
                      <w:sz w:val="22"/>
                      <w:szCs w:val="22"/>
                    </w:rPr>
                    <w:lastRenderedPageBreak/>
                    <w:t>Terminology (CPT) surgical range. In addition, they are proposing to add 12 cardiac catheterization procedures to the ASC covered procedures list. These codes can be found in Table 40 of the rule, beginning on page 440 of 761.</w:t>
                  </w:r>
                </w:p>
                <w:p w:rsidR="00354CCE" w:rsidRDefault="00354CCE" w:rsidP="00B1285B">
                  <w:pPr>
                    <w:spacing w:before="240" w:after="240" w:line="360" w:lineRule="auto"/>
                    <w:rPr>
                      <w:rFonts w:ascii="Arial" w:hAnsi="Arial" w:cs="Arial"/>
                      <w:color w:val="36424A"/>
                      <w:sz w:val="22"/>
                      <w:szCs w:val="22"/>
                    </w:rPr>
                  </w:pPr>
                  <w:r>
                    <w:rPr>
                      <w:rStyle w:val="Strong"/>
                      <w:rFonts w:ascii="Arial" w:hAnsi="Arial" w:cs="Arial"/>
                      <w:color w:val="36424A"/>
                      <w:sz w:val="22"/>
                      <w:szCs w:val="22"/>
                    </w:rPr>
                    <w:t>Proposed Payment for Non-Opioid Pain Management Therapy</w:t>
                  </w:r>
                </w:p>
                <w:p w:rsidR="00354CCE" w:rsidRDefault="00354CCE" w:rsidP="00B1285B">
                  <w:pPr>
                    <w:spacing w:before="240" w:after="240" w:line="360" w:lineRule="auto"/>
                    <w:rPr>
                      <w:rFonts w:ascii="Arial" w:hAnsi="Arial" w:cs="Arial"/>
                      <w:color w:val="36424A"/>
                      <w:sz w:val="22"/>
                      <w:szCs w:val="22"/>
                    </w:rPr>
                  </w:pPr>
                  <w:r>
                    <w:rPr>
                      <w:rFonts w:ascii="Arial" w:hAnsi="Arial" w:cs="Arial"/>
                      <w:color w:val="36424A"/>
                      <w:sz w:val="22"/>
                      <w:szCs w:val="22"/>
                    </w:rPr>
                    <w:t xml:space="preserve">For 2019, CMS is proposing to provide separate payment for non-opioid pain management drugs that function as a supply when used in a surgical procedure when the procedure is performed in an ASC. Currently, HCPCS code C9290, </w:t>
                  </w:r>
                  <w:proofErr w:type="spellStart"/>
                  <w:r>
                    <w:rPr>
                      <w:rFonts w:ascii="Arial" w:hAnsi="Arial" w:cs="Arial"/>
                      <w:color w:val="36424A"/>
                      <w:sz w:val="22"/>
                      <w:szCs w:val="22"/>
                    </w:rPr>
                    <w:t>Exparel</w:t>
                  </w:r>
                  <w:proofErr w:type="spellEnd"/>
                  <w:r>
                    <w:rPr>
                      <w:rFonts w:ascii="Arial" w:hAnsi="Arial" w:cs="Arial"/>
                      <w:color w:val="36424A"/>
                      <w:sz w:val="22"/>
                      <w:szCs w:val="22"/>
                    </w:rPr>
                    <w:t>, is the only code that meets the proposed criteria and will receive separate payment when used in a surgical procedure when the procedure is performed in an ASC.</w:t>
                  </w:r>
                </w:p>
                <w:p w:rsidR="00354CCE" w:rsidRDefault="00354CCE" w:rsidP="00B1285B">
                  <w:pPr>
                    <w:spacing w:before="240" w:after="240" w:line="360" w:lineRule="auto"/>
                    <w:rPr>
                      <w:rFonts w:ascii="Arial" w:hAnsi="Arial" w:cs="Arial"/>
                      <w:color w:val="36424A"/>
                      <w:sz w:val="22"/>
                      <w:szCs w:val="22"/>
                    </w:rPr>
                  </w:pPr>
                  <w:r>
                    <w:rPr>
                      <w:rStyle w:val="Strong"/>
                      <w:rFonts w:ascii="Arial" w:hAnsi="Arial" w:cs="Arial"/>
                      <w:color w:val="36424A"/>
                      <w:sz w:val="22"/>
                      <w:szCs w:val="22"/>
                    </w:rPr>
                    <w:t>No Action Taken on Total Joint Replacements</w:t>
                  </w:r>
                </w:p>
                <w:p w:rsidR="00354CCE" w:rsidRDefault="00354CCE" w:rsidP="00B1285B">
                  <w:pPr>
                    <w:spacing w:before="240" w:after="240" w:line="360" w:lineRule="auto"/>
                    <w:rPr>
                      <w:rFonts w:ascii="Arial" w:hAnsi="Arial" w:cs="Arial"/>
                      <w:color w:val="36424A"/>
                      <w:sz w:val="22"/>
                      <w:szCs w:val="22"/>
                    </w:rPr>
                  </w:pPr>
                  <w:r>
                    <w:rPr>
                      <w:rFonts w:ascii="Arial" w:hAnsi="Arial" w:cs="Arial"/>
                      <w:color w:val="36424A"/>
                      <w:sz w:val="22"/>
                      <w:szCs w:val="22"/>
                    </w:rPr>
                    <w:t>As expected, CMS did not propose to add any total joint replacement codes to the ASC-payable list for 2019.</w:t>
                  </w:r>
                </w:p>
                <w:p w:rsidR="00354CCE" w:rsidRDefault="00354CCE" w:rsidP="00B1285B">
                  <w:pPr>
                    <w:spacing w:before="240" w:after="240" w:line="360" w:lineRule="auto"/>
                    <w:rPr>
                      <w:rFonts w:ascii="Arial" w:hAnsi="Arial" w:cs="Arial"/>
                      <w:color w:val="36424A"/>
                      <w:sz w:val="22"/>
                      <w:szCs w:val="22"/>
                    </w:rPr>
                  </w:pPr>
                  <w:r>
                    <w:rPr>
                      <w:rStyle w:val="Strong"/>
                      <w:rFonts w:ascii="Arial" w:hAnsi="Arial" w:cs="Arial"/>
                      <w:color w:val="36424A"/>
                      <w:sz w:val="22"/>
                      <w:szCs w:val="22"/>
                    </w:rPr>
                    <w:t>Changes to the ASC Quality Reporting Program</w:t>
                  </w:r>
                </w:p>
                <w:p w:rsidR="00354CCE" w:rsidRDefault="00354CCE" w:rsidP="00B1285B">
                  <w:pPr>
                    <w:spacing w:before="240" w:after="240" w:line="360" w:lineRule="auto"/>
                    <w:rPr>
                      <w:rFonts w:ascii="Arial" w:hAnsi="Arial" w:cs="Arial"/>
                      <w:color w:val="36424A"/>
                      <w:sz w:val="22"/>
                      <w:szCs w:val="22"/>
                    </w:rPr>
                  </w:pPr>
                  <w:r>
                    <w:rPr>
                      <w:rFonts w:ascii="Arial" w:hAnsi="Arial" w:cs="Arial"/>
                      <w:color w:val="36424A"/>
                      <w:sz w:val="22"/>
                      <w:szCs w:val="22"/>
                    </w:rPr>
                    <w:t xml:space="preserve">There were sweeping changes proposed to the ASC Quality Reporting (ASCQR) Program. Most significantly, CMS is proposing to remove a total of 8 measures from the ASCQR Program measure set across the CY 2020 and CY 2021 payment determinations. Specifically, beginning with the CY 2020 payment determination, they are proposing to remove: ASC-8: Influenza Vaccination Coverage Among Healthcare Personnel; and beginning with the CY 2021 payment determination, they are proposing to remove: </w:t>
                  </w:r>
                  <w:r>
                    <w:rPr>
                      <w:rStyle w:val="Emphasis"/>
                      <w:rFonts w:ascii="Arial" w:hAnsi="Arial" w:cs="Arial"/>
                      <w:color w:val="36424A"/>
                      <w:sz w:val="22"/>
                      <w:szCs w:val="22"/>
                    </w:rPr>
                    <w:t>ASC-1: Patient Burn; ASC-2: Patient Fall; ASC-3: Wrong Site, Wrong Side, Wrong Patient, Wrong Procedure, Wrong Implant; ASC-4: All-Cause Hospital Transfer/Admission; ASC-9: Endoscopy/Polyp Surveillance Follow-up Interval for Normal Colonoscopy in Average Risk Patients; ASC-10: Endoscopy/Polyp Surveillance: Colonoscopy Interval for Patients with a History of Adenomatous Polyps - Avoidance of Inappropriate Use; and voluntary measure ASC-11: Cataracts - Improvement in Patient's Visual Function within 90 Days Following Cataract Surgery.</w:t>
                  </w:r>
                </w:p>
                <w:p w:rsidR="00354CCE" w:rsidRDefault="00354CCE" w:rsidP="00B1285B">
                  <w:pPr>
                    <w:spacing w:before="240" w:after="240" w:line="360" w:lineRule="auto"/>
                    <w:rPr>
                      <w:rFonts w:ascii="Arial" w:hAnsi="Arial" w:cs="Arial"/>
                      <w:color w:val="36424A"/>
                      <w:sz w:val="22"/>
                      <w:szCs w:val="22"/>
                    </w:rPr>
                  </w:pPr>
                  <w:r>
                    <w:rPr>
                      <w:rFonts w:ascii="Arial" w:hAnsi="Arial" w:cs="Arial"/>
                      <w:color w:val="36424A"/>
                      <w:sz w:val="22"/>
                      <w:szCs w:val="22"/>
                    </w:rPr>
                    <w:t>CMS did not yet propose to mandate implementation of the Consumer Assessment of Healthcare Providers and Systems Outpatient and Ambulatory Surgery Survey (OAS CAHPS) under the ASCQR Program.</w:t>
                  </w:r>
                </w:p>
                <w:p w:rsidR="00354CCE" w:rsidRPr="00354CCE" w:rsidRDefault="00354CCE" w:rsidP="00B1285B">
                  <w:pPr>
                    <w:spacing w:before="240" w:after="240" w:line="360" w:lineRule="auto"/>
                    <w:rPr>
                      <w:rFonts w:ascii="Arial" w:hAnsi="Arial" w:cs="Arial"/>
                      <w:color w:val="36424A"/>
                      <w:sz w:val="22"/>
                      <w:szCs w:val="22"/>
                    </w:rPr>
                  </w:pPr>
                  <w:r>
                    <w:rPr>
                      <w:rFonts w:ascii="Arial" w:hAnsi="Arial" w:cs="Arial"/>
                      <w:color w:val="36424A"/>
                      <w:sz w:val="22"/>
                      <w:szCs w:val="22"/>
                    </w:rPr>
                    <w:t xml:space="preserve">With regards to quality, Prentice added, “The reduction of measures in the ASC Quality </w:t>
                  </w:r>
                  <w:r w:rsidRPr="00354CCE">
                    <w:rPr>
                      <w:rFonts w:ascii="Arial" w:hAnsi="Arial" w:cs="Arial"/>
                      <w:color w:val="36424A"/>
                      <w:sz w:val="22"/>
                      <w:szCs w:val="22"/>
                    </w:rPr>
                    <w:lastRenderedPageBreak/>
                    <w:t>Reporting Program demonstrates the outstanding performance of ASCs in preventing serious adverse events and a finding by CMS that it is no longer necessary to collect this data. We look forward to working with CMS staff to identify new measures that focus on patient outcomes and provide actionable data that can be used by patients, providers and regulators.”</w:t>
                  </w:r>
                </w:p>
                <w:p w:rsidR="00354CCE" w:rsidRPr="00354CCE" w:rsidRDefault="00354CCE" w:rsidP="00354CCE">
                  <w:pPr>
                    <w:spacing w:before="240" w:after="240" w:line="360" w:lineRule="auto"/>
                    <w:rPr>
                      <w:rFonts w:ascii="Arial" w:hAnsi="Arial" w:cs="Arial"/>
                      <w:color w:val="36424A"/>
                      <w:sz w:val="22"/>
                      <w:szCs w:val="22"/>
                    </w:rPr>
                  </w:pPr>
                  <w:r w:rsidRPr="00354CCE">
                    <w:rPr>
                      <w:rFonts w:ascii="Arial" w:hAnsi="Arial" w:cs="Arial"/>
                      <w:spacing w:val="-1"/>
                      <w:sz w:val="22"/>
                      <w:szCs w:val="22"/>
                    </w:rPr>
                    <w:t>Comments</w:t>
                  </w:r>
                  <w:r w:rsidRPr="00354CCE">
                    <w:rPr>
                      <w:rFonts w:ascii="Arial" w:hAnsi="Arial" w:cs="Arial"/>
                      <w:sz w:val="22"/>
                      <w:szCs w:val="22"/>
                    </w:rPr>
                    <w:t xml:space="preserve"> </w:t>
                  </w:r>
                  <w:r w:rsidRPr="00354CCE">
                    <w:rPr>
                      <w:rFonts w:ascii="Arial" w:hAnsi="Arial" w:cs="Arial"/>
                      <w:spacing w:val="-1"/>
                      <w:sz w:val="22"/>
                      <w:szCs w:val="22"/>
                    </w:rPr>
                    <w:t xml:space="preserve">are </w:t>
                  </w:r>
                  <w:r w:rsidRPr="00354CCE">
                    <w:rPr>
                      <w:rFonts w:ascii="Arial" w:hAnsi="Arial" w:cs="Arial"/>
                      <w:sz w:val="22"/>
                      <w:szCs w:val="22"/>
                    </w:rPr>
                    <w:t>due</w:t>
                  </w:r>
                  <w:r w:rsidRPr="00354CCE">
                    <w:rPr>
                      <w:rFonts w:ascii="Arial" w:hAnsi="Arial" w:cs="Arial"/>
                      <w:spacing w:val="-1"/>
                      <w:sz w:val="22"/>
                      <w:szCs w:val="22"/>
                    </w:rPr>
                    <w:t xml:space="preserve"> </w:t>
                  </w:r>
                  <w:r w:rsidRPr="00354CCE">
                    <w:rPr>
                      <w:rFonts w:ascii="Arial" w:hAnsi="Arial" w:cs="Arial"/>
                      <w:spacing w:val="2"/>
                      <w:sz w:val="22"/>
                      <w:szCs w:val="22"/>
                    </w:rPr>
                    <w:t>by</w:t>
                  </w:r>
                  <w:r w:rsidRPr="00354CCE">
                    <w:rPr>
                      <w:rFonts w:ascii="Arial" w:hAnsi="Arial" w:cs="Arial"/>
                      <w:spacing w:val="-5"/>
                      <w:sz w:val="22"/>
                      <w:szCs w:val="22"/>
                    </w:rPr>
                    <w:t xml:space="preserve"> </w:t>
                  </w:r>
                  <w:r w:rsidRPr="00354CCE">
                    <w:rPr>
                      <w:rFonts w:ascii="Arial" w:hAnsi="Arial" w:cs="Arial"/>
                      <w:spacing w:val="-1"/>
                      <w:sz w:val="22"/>
                      <w:szCs w:val="22"/>
                    </w:rPr>
                    <w:t xml:space="preserve">September </w:t>
                  </w:r>
                  <w:r w:rsidRPr="00354CCE">
                    <w:rPr>
                      <w:rFonts w:ascii="Arial" w:hAnsi="Arial" w:cs="Arial"/>
                      <w:sz w:val="22"/>
                      <w:szCs w:val="22"/>
                    </w:rPr>
                    <w:t>24, 2018</w:t>
                  </w:r>
                  <w:r w:rsidRPr="00354CCE">
                    <w:rPr>
                      <w:rFonts w:ascii="Arial" w:hAnsi="Arial" w:cs="Arial"/>
                      <w:spacing w:val="-1"/>
                      <w:sz w:val="22"/>
                      <w:szCs w:val="22"/>
                    </w:rPr>
                    <w:t>.</w:t>
                  </w:r>
                  <w:r w:rsidRPr="00354CCE">
                    <w:rPr>
                      <w:rFonts w:ascii="Arial" w:hAnsi="Arial" w:cs="Arial"/>
                      <w:sz w:val="22"/>
                      <w:szCs w:val="22"/>
                    </w:rPr>
                    <w:t xml:space="preserve"> </w:t>
                  </w:r>
                  <w:r w:rsidRPr="00354CCE">
                    <w:rPr>
                      <w:rFonts w:ascii="Arial" w:hAnsi="Arial" w:cs="Arial"/>
                      <w:spacing w:val="-1"/>
                      <w:sz w:val="22"/>
                      <w:szCs w:val="22"/>
                    </w:rPr>
                    <w:t>Please provide</w:t>
                  </w:r>
                  <w:r w:rsidRPr="00354CCE">
                    <w:rPr>
                      <w:rFonts w:ascii="Arial" w:hAnsi="Arial" w:cs="Arial"/>
                      <w:spacing w:val="3"/>
                      <w:sz w:val="22"/>
                      <w:szCs w:val="22"/>
                    </w:rPr>
                    <w:t xml:space="preserve"> </w:t>
                  </w:r>
                  <w:r w:rsidRPr="00354CCE">
                    <w:rPr>
                      <w:rFonts w:ascii="Arial" w:hAnsi="Arial" w:cs="Arial"/>
                      <w:spacing w:val="-2"/>
                      <w:sz w:val="22"/>
                      <w:szCs w:val="22"/>
                    </w:rPr>
                    <w:t>your</w:t>
                  </w:r>
                  <w:r w:rsidRPr="00354CCE">
                    <w:rPr>
                      <w:rFonts w:ascii="Arial" w:hAnsi="Arial" w:cs="Arial"/>
                      <w:spacing w:val="1"/>
                      <w:sz w:val="22"/>
                      <w:szCs w:val="22"/>
                    </w:rPr>
                    <w:t xml:space="preserve"> </w:t>
                  </w:r>
                  <w:r w:rsidRPr="00354CCE">
                    <w:rPr>
                      <w:rFonts w:ascii="Arial" w:hAnsi="Arial" w:cs="Arial"/>
                      <w:spacing w:val="-1"/>
                      <w:sz w:val="22"/>
                      <w:szCs w:val="22"/>
                    </w:rPr>
                    <w:t xml:space="preserve">comments! </w:t>
                  </w:r>
                  <w:r w:rsidRPr="00354CCE">
                    <w:rPr>
                      <w:rFonts w:ascii="Arial" w:hAnsi="Arial" w:cs="Arial"/>
                      <w:sz w:val="22"/>
                      <w:szCs w:val="22"/>
                    </w:rPr>
                    <w:t xml:space="preserve">CMS </w:t>
                  </w:r>
                  <w:r w:rsidRPr="00354CCE">
                    <w:rPr>
                      <w:rFonts w:ascii="Arial" w:hAnsi="Arial" w:cs="Arial"/>
                      <w:spacing w:val="-1"/>
                      <w:sz w:val="22"/>
                      <w:szCs w:val="22"/>
                    </w:rPr>
                    <w:t>encourages</w:t>
                  </w:r>
                  <w:r w:rsidRPr="00354CCE">
                    <w:rPr>
                      <w:rFonts w:ascii="Arial" w:hAnsi="Arial" w:cs="Arial"/>
                      <w:spacing w:val="2"/>
                      <w:sz w:val="22"/>
                      <w:szCs w:val="22"/>
                    </w:rPr>
                    <w:t xml:space="preserve"> </w:t>
                  </w:r>
                  <w:r w:rsidRPr="00354CCE">
                    <w:rPr>
                      <w:rFonts w:ascii="Arial" w:hAnsi="Arial" w:cs="Arial"/>
                      <w:sz w:val="22"/>
                      <w:szCs w:val="22"/>
                    </w:rPr>
                    <w:t>the</w:t>
                  </w:r>
                  <w:r w:rsidRPr="00354CCE">
                    <w:rPr>
                      <w:rFonts w:ascii="Arial" w:hAnsi="Arial" w:cs="Arial"/>
                      <w:spacing w:val="-1"/>
                      <w:sz w:val="22"/>
                      <w:szCs w:val="22"/>
                    </w:rPr>
                    <w:t xml:space="preserve"> ASCQR</w:t>
                  </w:r>
                  <w:r w:rsidRPr="00354CCE">
                    <w:rPr>
                      <w:rFonts w:ascii="Arial" w:hAnsi="Arial" w:cs="Arial"/>
                      <w:sz w:val="22"/>
                      <w:szCs w:val="22"/>
                    </w:rPr>
                    <w:t xml:space="preserve"> community</w:t>
                  </w:r>
                  <w:r w:rsidRPr="00354CCE">
                    <w:rPr>
                      <w:rFonts w:ascii="Arial" w:hAnsi="Arial" w:cs="Arial"/>
                      <w:spacing w:val="-5"/>
                      <w:sz w:val="22"/>
                      <w:szCs w:val="22"/>
                    </w:rPr>
                    <w:t xml:space="preserve"> </w:t>
                  </w:r>
                  <w:r w:rsidRPr="00354CCE">
                    <w:rPr>
                      <w:rFonts w:ascii="Arial" w:hAnsi="Arial" w:cs="Arial"/>
                      <w:sz w:val="22"/>
                      <w:szCs w:val="22"/>
                    </w:rPr>
                    <w:t xml:space="preserve">to </w:t>
                  </w:r>
                  <w:r w:rsidRPr="00354CCE">
                    <w:rPr>
                      <w:rFonts w:ascii="Arial" w:hAnsi="Arial" w:cs="Arial"/>
                      <w:spacing w:val="-1"/>
                      <w:sz w:val="22"/>
                      <w:szCs w:val="22"/>
                    </w:rPr>
                    <w:t xml:space="preserve">participate </w:t>
                  </w:r>
                  <w:r w:rsidRPr="00354CCE">
                    <w:rPr>
                      <w:rFonts w:ascii="Arial" w:hAnsi="Arial" w:cs="Arial"/>
                      <w:sz w:val="22"/>
                      <w:szCs w:val="22"/>
                    </w:rPr>
                    <w:t>in</w:t>
                  </w:r>
                  <w:r w:rsidRPr="00354CCE">
                    <w:rPr>
                      <w:rFonts w:ascii="Arial" w:hAnsi="Arial" w:cs="Arial"/>
                      <w:spacing w:val="79"/>
                      <w:sz w:val="22"/>
                      <w:szCs w:val="22"/>
                    </w:rPr>
                    <w:t xml:space="preserve"> </w:t>
                  </w:r>
                  <w:r w:rsidRPr="00354CCE">
                    <w:rPr>
                      <w:rFonts w:ascii="Arial" w:hAnsi="Arial" w:cs="Arial"/>
                      <w:sz w:val="22"/>
                      <w:szCs w:val="22"/>
                    </w:rPr>
                    <w:t>the</w:t>
                  </w:r>
                  <w:r w:rsidRPr="00354CCE">
                    <w:rPr>
                      <w:rFonts w:ascii="Arial" w:hAnsi="Arial" w:cs="Arial"/>
                      <w:spacing w:val="-1"/>
                      <w:sz w:val="22"/>
                      <w:szCs w:val="22"/>
                    </w:rPr>
                    <w:t xml:space="preserve"> Proposed</w:t>
                  </w:r>
                  <w:r w:rsidRPr="00354CCE">
                    <w:rPr>
                      <w:rFonts w:ascii="Arial" w:hAnsi="Arial" w:cs="Arial"/>
                      <w:sz w:val="22"/>
                      <w:szCs w:val="22"/>
                    </w:rPr>
                    <w:t xml:space="preserve"> Rule</w:t>
                  </w:r>
                  <w:r w:rsidRPr="00354CCE">
                    <w:rPr>
                      <w:rFonts w:ascii="Arial" w:hAnsi="Arial" w:cs="Arial"/>
                      <w:spacing w:val="-1"/>
                      <w:sz w:val="22"/>
                      <w:szCs w:val="22"/>
                    </w:rPr>
                    <w:t xml:space="preserve"> comment</w:t>
                  </w:r>
                  <w:r w:rsidRPr="00354CCE">
                    <w:rPr>
                      <w:rFonts w:ascii="Arial" w:hAnsi="Arial" w:cs="Arial"/>
                      <w:sz w:val="22"/>
                      <w:szCs w:val="22"/>
                    </w:rPr>
                    <w:t xml:space="preserve"> </w:t>
                  </w:r>
                  <w:r w:rsidRPr="00354CCE">
                    <w:rPr>
                      <w:rFonts w:ascii="Arial" w:hAnsi="Arial" w:cs="Arial"/>
                      <w:spacing w:val="-1"/>
                      <w:sz w:val="22"/>
                      <w:szCs w:val="22"/>
                    </w:rPr>
                    <w:t>process.</w:t>
                  </w:r>
                  <w:r w:rsidRPr="00354CCE">
                    <w:rPr>
                      <w:rFonts w:ascii="Arial" w:hAnsi="Arial" w:cs="Arial"/>
                      <w:sz w:val="22"/>
                      <w:szCs w:val="22"/>
                    </w:rPr>
                    <w:t xml:space="preserve"> Your</w:t>
                  </w:r>
                  <w:r w:rsidRPr="00354CCE">
                    <w:rPr>
                      <w:rFonts w:ascii="Arial" w:hAnsi="Arial" w:cs="Arial"/>
                      <w:spacing w:val="-1"/>
                      <w:sz w:val="22"/>
                      <w:szCs w:val="22"/>
                    </w:rPr>
                    <w:t xml:space="preserve"> </w:t>
                  </w:r>
                  <w:r w:rsidRPr="00354CCE">
                    <w:rPr>
                      <w:rFonts w:ascii="Arial" w:hAnsi="Arial" w:cs="Arial"/>
                      <w:sz w:val="22"/>
                      <w:szCs w:val="22"/>
                    </w:rPr>
                    <w:t xml:space="preserve">comments </w:t>
                  </w:r>
                  <w:r w:rsidRPr="00354CCE">
                    <w:rPr>
                      <w:rFonts w:ascii="Arial" w:hAnsi="Arial" w:cs="Arial"/>
                      <w:spacing w:val="-1"/>
                      <w:sz w:val="22"/>
                      <w:szCs w:val="22"/>
                    </w:rPr>
                    <w:t xml:space="preserve">are </w:t>
                  </w:r>
                  <w:r w:rsidRPr="00354CCE">
                    <w:rPr>
                      <w:rFonts w:ascii="Arial" w:hAnsi="Arial" w:cs="Arial"/>
                      <w:sz w:val="22"/>
                      <w:szCs w:val="22"/>
                    </w:rPr>
                    <w:t>very</w:t>
                  </w:r>
                  <w:r w:rsidRPr="00354CCE">
                    <w:rPr>
                      <w:rFonts w:ascii="Arial" w:hAnsi="Arial" w:cs="Arial"/>
                      <w:spacing w:val="-5"/>
                      <w:sz w:val="22"/>
                      <w:szCs w:val="22"/>
                    </w:rPr>
                    <w:t xml:space="preserve"> </w:t>
                  </w:r>
                  <w:r w:rsidRPr="00354CCE">
                    <w:rPr>
                      <w:rFonts w:ascii="Arial" w:hAnsi="Arial" w:cs="Arial"/>
                      <w:sz w:val="22"/>
                      <w:szCs w:val="22"/>
                    </w:rPr>
                    <w:t>important and play</w:t>
                  </w:r>
                  <w:r w:rsidRPr="00354CCE">
                    <w:rPr>
                      <w:rFonts w:ascii="Arial" w:hAnsi="Arial" w:cs="Arial"/>
                      <w:spacing w:val="-3"/>
                      <w:sz w:val="22"/>
                      <w:szCs w:val="22"/>
                    </w:rPr>
                    <w:t xml:space="preserve"> </w:t>
                  </w:r>
                  <w:r w:rsidRPr="00354CCE">
                    <w:rPr>
                      <w:rFonts w:ascii="Arial" w:hAnsi="Arial" w:cs="Arial"/>
                      <w:sz w:val="22"/>
                      <w:szCs w:val="22"/>
                    </w:rPr>
                    <w:t>a</w:t>
                  </w:r>
                  <w:r w:rsidRPr="00354CCE">
                    <w:rPr>
                      <w:rFonts w:ascii="Arial" w:hAnsi="Arial" w:cs="Arial"/>
                      <w:spacing w:val="-1"/>
                      <w:sz w:val="22"/>
                      <w:szCs w:val="22"/>
                    </w:rPr>
                    <w:t xml:space="preserve"> </w:t>
                  </w:r>
                  <w:r w:rsidRPr="00354CCE">
                    <w:rPr>
                      <w:rFonts w:ascii="Arial" w:hAnsi="Arial" w:cs="Arial"/>
                      <w:spacing w:val="1"/>
                      <w:sz w:val="22"/>
                      <w:szCs w:val="22"/>
                    </w:rPr>
                    <w:t>key</w:t>
                  </w:r>
                  <w:r w:rsidRPr="00354CCE">
                    <w:rPr>
                      <w:rFonts w:ascii="Arial" w:hAnsi="Arial" w:cs="Arial"/>
                      <w:spacing w:val="-5"/>
                      <w:sz w:val="22"/>
                      <w:szCs w:val="22"/>
                    </w:rPr>
                    <w:t xml:space="preserve"> </w:t>
                  </w:r>
                  <w:r w:rsidRPr="00354CCE">
                    <w:rPr>
                      <w:rFonts w:ascii="Arial" w:hAnsi="Arial" w:cs="Arial"/>
                      <w:spacing w:val="-1"/>
                      <w:sz w:val="22"/>
                      <w:szCs w:val="22"/>
                    </w:rPr>
                    <w:t xml:space="preserve">role </w:t>
                  </w:r>
                  <w:r w:rsidRPr="00354CCE">
                    <w:rPr>
                      <w:rFonts w:ascii="Arial" w:hAnsi="Arial" w:cs="Arial"/>
                      <w:sz w:val="22"/>
                      <w:szCs w:val="22"/>
                    </w:rPr>
                    <w:t>in</w:t>
                  </w:r>
                  <w:r w:rsidRPr="00354CCE">
                    <w:rPr>
                      <w:rFonts w:ascii="Arial" w:hAnsi="Arial" w:cs="Arial"/>
                      <w:spacing w:val="52"/>
                      <w:sz w:val="22"/>
                      <w:szCs w:val="22"/>
                    </w:rPr>
                    <w:t xml:space="preserve"> </w:t>
                  </w:r>
                  <w:r w:rsidRPr="00354CCE">
                    <w:rPr>
                      <w:rFonts w:ascii="Arial" w:hAnsi="Arial" w:cs="Arial"/>
                      <w:sz w:val="22"/>
                      <w:szCs w:val="22"/>
                    </w:rPr>
                    <w:t>the</w:t>
                  </w:r>
                  <w:r w:rsidRPr="00354CCE">
                    <w:rPr>
                      <w:rFonts w:ascii="Arial" w:hAnsi="Arial" w:cs="Arial"/>
                      <w:spacing w:val="-1"/>
                      <w:sz w:val="22"/>
                      <w:szCs w:val="22"/>
                    </w:rPr>
                    <w:t xml:space="preserve"> development</w:t>
                  </w:r>
                  <w:r w:rsidRPr="00354CCE">
                    <w:rPr>
                      <w:rFonts w:ascii="Arial" w:hAnsi="Arial" w:cs="Arial"/>
                      <w:sz w:val="22"/>
                      <w:szCs w:val="22"/>
                    </w:rPr>
                    <w:t xml:space="preserve"> of</w:t>
                  </w:r>
                  <w:r w:rsidRPr="00354CCE">
                    <w:rPr>
                      <w:rFonts w:ascii="Arial" w:hAnsi="Arial" w:cs="Arial"/>
                      <w:spacing w:val="-1"/>
                      <w:sz w:val="22"/>
                      <w:szCs w:val="22"/>
                    </w:rPr>
                    <w:t xml:space="preserve"> </w:t>
                  </w:r>
                  <w:r w:rsidRPr="00354CCE">
                    <w:rPr>
                      <w:rFonts w:ascii="Arial" w:hAnsi="Arial" w:cs="Arial"/>
                      <w:sz w:val="22"/>
                      <w:szCs w:val="22"/>
                    </w:rPr>
                    <w:t xml:space="preserve">program </w:t>
                  </w:r>
                  <w:r w:rsidRPr="00354CCE">
                    <w:rPr>
                      <w:rFonts w:ascii="Arial" w:hAnsi="Arial" w:cs="Arial"/>
                      <w:spacing w:val="-1"/>
                      <w:sz w:val="22"/>
                      <w:szCs w:val="22"/>
                    </w:rPr>
                    <w:t>requirements</w:t>
                  </w:r>
                  <w:r w:rsidRPr="00354CCE">
                    <w:rPr>
                      <w:rFonts w:ascii="Arial" w:hAnsi="Arial" w:cs="Arial"/>
                      <w:sz w:val="22"/>
                      <w:szCs w:val="22"/>
                    </w:rPr>
                    <w:t xml:space="preserve"> to be</w:t>
                  </w:r>
                  <w:r w:rsidRPr="00354CCE">
                    <w:rPr>
                      <w:rFonts w:ascii="Arial" w:hAnsi="Arial" w:cs="Arial"/>
                      <w:spacing w:val="-1"/>
                      <w:sz w:val="22"/>
                      <w:szCs w:val="22"/>
                    </w:rPr>
                    <w:t xml:space="preserve"> outlined</w:t>
                  </w:r>
                  <w:r w:rsidRPr="00354CCE">
                    <w:rPr>
                      <w:rFonts w:ascii="Arial" w:hAnsi="Arial" w:cs="Arial"/>
                      <w:sz w:val="22"/>
                      <w:szCs w:val="22"/>
                    </w:rPr>
                    <w:t xml:space="preserve"> in the</w:t>
                  </w:r>
                  <w:r w:rsidRPr="00354CCE">
                    <w:rPr>
                      <w:rFonts w:ascii="Arial" w:hAnsi="Arial" w:cs="Arial"/>
                      <w:spacing w:val="-1"/>
                      <w:sz w:val="22"/>
                      <w:szCs w:val="22"/>
                    </w:rPr>
                    <w:t xml:space="preserve"> </w:t>
                  </w:r>
                  <w:r w:rsidRPr="00354CCE">
                    <w:rPr>
                      <w:rFonts w:ascii="Arial" w:hAnsi="Arial" w:cs="Arial"/>
                      <w:sz w:val="22"/>
                      <w:szCs w:val="22"/>
                    </w:rPr>
                    <w:t>CY</w:t>
                  </w:r>
                  <w:r w:rsidRPr="00354CCE">
                    <w:rPr>
                      <w:rFonts w:ascii="Arial" w:hAnsi="Arial" w:cs="Arial"/>
                      <w:spacing w:val="-1"/>
                      <w:sz w:val="22"/>
                      <w:szCs w:val="22"/>
                    </w:rPr>
                    <w:t xml:space="preserve"> </w:t>
                  </w:r>
                  <w:r w:rsidRPr="00354CCE">
                    <w:rPr>
                      <w:rFonts w:ascii="Arial" w:hAnsi="Arial" w:cs="Arial"/>
                      <w:sz w:val="22"/>
                      <w:szCs w:val="22"/>
                    </w:rPr>
                    <w:t xml:space="preserve">2019 </w:t>
                  </w:r>
                  <w:r w:rsidRPr="00354CCE">
                    <w:rPr>
                      <w:rFonts w:ascii="Arial" w:hAnsi="Arial" w:cs="Arial"/>
                      <w:spacing w:val="-1"/>
                      <w:sz w:val="22"/>
                      <w:szCs w:val="22"/>
                    </w:rPr>
                    <w:t>OPPS</w:t>
                  </w:r>
                  <w:r w:rsidRPr="00354CCE">
                    <w:rPr>
                      <w:rFonts w:ascii="Arial" w:hAnsi="Arial" w:cs="Arial"/>
                      <w:sz w:val="22"/>
                      <w:szCs w:val="22"/>
                    </w:rPr>
                    <w:t xml:space="preserve"> </w:t>
                  </w:r>
                  <w:r w:rsidRPr="00354CCE">
                    <w:rPr>
                      <w:rFonts w:ascii="Arial" w:hAnsi="Arial" w:cs="Arial"/>
                      <w:spacing w:val="-1"/>
                      <w:sz w:val="22"/>
                      <w:szCs w:val="22"/>
                    </w:rPr>
                    <w:t>Final</w:t>
                  </w:r>
                  <w:r w:rsidRPr="00354CCE">
                    <w:rPr>
                      <w:rFonts w:ascii="Arial" w:hAnsi="Arial" w:cs="Arial"/>
                      <w:sz w:val="22"/>
                      <w:szCs w:val="22"/>
                    </w:rPr>
                    <w:t xml:space="preserve"> </w:t>
                  </w:r>
                  <w:r w:rsidRPr="00354CCE">
                    <w:rPr>
                      <w:rFonts w:ascii="Arial" w:hAnsi="Arial" w:cs="Arial"/>
                      <w:spacing w:val="-1"/>
                      <w:sz w:val="22"/>
                      <w:szCs w:val="22"/>
                    </w:rPr>
                    <w:t>Rule.</w:t>
                  </w:r>
                  <w:r w:rsidRPr="00354CCE">
                    <w:rPr>
                      <w:rFonts w:ascii="Arial" w:hAnsi="Arial" w:cs="Arial"/>
                      <w:sz w:val="22"/>
                      <w:szCs w:val="22"/>
                    </w:rPr>
                    <w:t xml:space="preserve"> </w:t>
                  </w:r>
                </w:p>
              </w:tc>
            </w:tr>
          </w:tbl>
          <w:p w:rsidR="00354CCE" w:rsidRDefault="00354CCE" w:rsidP="00354CCE">
            <w:pPr>
              <w:tabs>
                <w:tab w:val="left" w:pos="5592"/>
              </w:tabs>
            </w:pPr>
            <w:r>
              <w:lastRenderedPageBreak/>
              <w:tab/>
            </w:r>
            <w:bookmarkStart w:id="0" w:name="_GoBack"/>
            <w:bookmarkEnd w:id="0"/>
          </w:p>
          <w:p w:rsidR="00354CCE" w:rsidRDefault="00354CCE">
            <w:pPr>
              <w:spacing w:before="240" w:after="240" w:line="360" w:lineRule="auto"/>
              <w:rPr>
                <w:rFonts w:ascii="Arial" w:hAnsi="Arial" w:cs="Arial"/>
                <w:color w:val="36424A"/>
                <w:sz w:val="22"/>
                <w:szCs w:val="22"/>
              </w:rPr>
            </w:pPr>
          </w:p>
          <w:p w:rsidR="00354CCE" w:rsidRDefault="00354CCE">
            <w:pPr>
              <w:spacing w:before="240" w:after="240" w:line="360" w:lineRule="auto"/>
              <w:rPr>
                <w:rFonts w:ascii="Arial" w:hAnsi="Arial" w:cs="Arial"/>
                <w:color w:val="36424A"/>
                <w:sz w:val="22"/>
                <w:szCs w:val="22"/>
              </w:rPr>
            </w:pPr>
          </w:p>
        </w:tc>
      </w:tr>
      <w:tr w:rsidR="00354CCE" w:rsidTr="00354CCE">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360"/>
            </w:tblGrid>
            <w:tr w:rsidR="00354CCE">
              <w:tc>
                <w:tcPr>
                  <w:tcW w:w="5000" w:type="pct"/>
                  <w:vAlign w:val="center"/>
                  <w:hideMark/>
                </w:tcPr>
                <w:tbl>
                  <w:tblPr>
                    <w:tblW w:w="5000" w:type="pct"/>
                    <w:tblCellMar>
                      <w:left w:w="0" w:type="dxa"/>
                      <w:right w:w="0" w:type="dxa"/>
                    </w:tblCellMar>
                    <w:tblLook w:val="04A0" w:firstRow="1" w:lastRow="0" w:firstColumn="1" w:lastColumn="0" w:noHBand="0" w:noVBand="1"/>
                  </w:tblPr>
                  <w:tblGrid>
                    <w:gridCol w:w="9360"/>
                  </w:tblGrid>
                  <w:tr w:rsidR="00354CCE">
                    <w:trPr>
                      <w:trHeight w:val="180"/>
                    </w:trPr>
                    <w:tc>
                      <w:tcPr>
                        <w:tcW w:w="5000" w:type="pct"/>
                        <w:vAlign w:val="center"/>
                        <w:hideMark/>
                      </w:tcPr>
                      <w:p w:rsidR="00354CCE" w:rsidRDefault="00354CCE">
                        <w:pPr>
                          <w:spacing w:line="0" w:lineRule="atLeast"/>
                          <w:rPr>
                            <w:rFonts w:ascii="Arial" w:eastAsia="Times New Roman" w:hAnsi="Arial" w:cs="Arial"/>
                            <w:color w:val="000000"/>
                            <w:sz w:val="2"/>
                            <w:szCs w:val="2"/>
                          </w:rPr>
                        </w:pPr>
                        <w:r>
                          <w:rPr>
                            <w:rFonts w:ascii="Arial" w:eastAsia="Times New Roman" w:hAnsi="Arial" w:cs="Arial"/>
                            <w:noProof/>
                            <w:color w:val="000000"/>
                            <w:sz w:val="2"/>
                            <w:szCs w:val="2"/>
                          </w:rPr>
                          <w:lastRenderedPageBreak/>
                          <w:drawing>
                            <wp:inline distT="0" distB="0" distL="0" distR="0" wp14:anchorId="4A3D34B7" wp14:editId="291C1D95">
                              <wp:extent cx="7620" cy="7620"/>
                              <wp:effectExtent l="0" t="0" r="0" b="0"/>
                              <wp:docPr id="3" name="Picture 3" descr="http://info.ascassociation.org/acton/image/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ascassociation.org/acton/image/tran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354CCE" w:rsidRDefault="00354CCE">
                  <w:pPr>
                    <w:rPr>
                      <w:rFonts w:eastAsia="Times New Roman"/>
                      <w:sz w:val="20"/>
                      <w:szCs w:val="20"/>
                    </w:rPr>
                  </w:pPr>
                </w:p>
              </w:tc>
            </w:tr>
          </w:tbl>
          <w:p w:rsidR="00354CCE" w:rsidRDefault="00354CCE">
            <w:pPr>
              <w:rPr>
                <w:rFonts w:eastAsia="Times New Roman"/>
                <w:sz w:val="20"/>
                <w:szCs w:val="20"/>
              </w:rPr>
            </w:pPr>
          </w:p>
        </w:tc>
      </w:tr>
      <w:tr w:rsidR="00354CCE" w:rsidTr="00354CCE">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360"/>
            </w:tblGrid>
            <w:tr w:rsidR="00354CCE">
              <w:tc>
                <w:tcPr>
                  <w:tcW w:w="5000" w:type="pct"/>
                  <w:vAlign w:val="center"/>
                  <w:hideMark/>
                </w:tcPr>
                <w:tbl>
                  <w:tblPr>
                    <w:tblW w:w="5000" w:type="pct"/>
                    <w:tblCellMar>
                      <w:left w:w="0" w:type="dxa"/>
                      <w:right w:w="0" w:type="dxa"/>
                    </w:tblCellMar>
                    <w:tblLook w:val="04A0" w:firstRow="1" w:lastRow="0" w:firstColumn="1" w:lastColumn="0" w:noHBand="0" w:noVBand="1"/>
                  </w:tblPr>
                  <w:tblGrid>
                    <w:gridCol w:w="9360"/>
                  </w:tblGrid>
                  <w:tr w:rsidR="00354CCE">
                    <w:trPr>
                      <w:trHeight w:val="240"/>
                    </w:trPr>
                    <w:tc>
                      <w:tcPr>
                        <w:tcW w:w="5000" w:type="pct"/>
                        <w:vAlign w:val="center"/>
                        <w:hideMark/>
                      </w:tcPr>
                      <w:p w:rsidR="00354CCE" w:rsidRDefault="00354CCE">
                        <w:pPr>
                          <w:spacing w:line="0" w:lineRule="atLeast"/>
                          <w:rPr>
                            <w:rFonts w:ascii="Arial" w:eastAsia="Times New Roman" w:hAnsi="Arial" w:cs="Arial"/>
                            <w:color w:val="000000"/>
                            <w:sz w:val="2"/>
                            <w:szCs w:val="2"/>
                          </w:rPr>
                        </w:pPr>
                      </w:p>
                    </w:tc>
                  </w:tr>
                </w:tbl>
                <w:p w:rsidR="00354CCE" w:rsidRDefault="00354CCE">
                  <w:pPr>
                    <w:rPr>
                      <w:rFonts w:eastAsia="Times New Roman"/>
                      <w:sz w:val="20"/>
                      <w:szCs w:val="20"/>
                    </w:rPr>
                  </w:pPr>
                </w:p>
              </w:tc>
            </w:tr>
          </w:tbl>
          <w:p w:rsidR="00354CCE" w:rsidRDefault="00354CCE">
            <w:pPr>
              <w:rPr>
                <w:rFonts w:eastAsia="Times New Roman"/>
                <w:sz w:val="20"/>
                <w:szCs w:val="20"/>
              </w:rPr>
            </w:pPr>
          </w:p>
        </w:tc>
      </w:tr>
      <w:tr w:rsidR="00354CCE" w:rsidTr="00354CCE">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360"/>
            </w:tblGrid>
            <w:tr w:rsidR="00354CCE">
              <w:tc>
                <w:tcPr>
                  <w:tcW w:w="5000" w:type="pct"/>
                  <w:vAlign w:val="center"/>
                  <w:hideMark/>
                </w:tcPr>
                <w:tbl>
                  <w:tblPr>
                    <w:tblW w:w="5000" w:type="pct"/>
                    <w:tblCellMar>
                      <w:left w:w="0" w:type="dxa"/>
                      <w:right w:w="0" w:type="dxa"/>
                    </w:tblCellMar>
                    <w:tblLook w:val="04A0" w:firstRow="1" w:lastRow="0" w:firstColumn="1" w:lastColumn="0" w:noHBand="0" w:noVBand="1"/>
                  </w:tblPr>
                  <w:tblGrid>
                    <w:gridCol w:w="9360"/>
                  </w:tblGrid>
                  <w:tr w:rsidR="00354CCE">
                    <w:trPr>
                      <w:trHeight w:val="180"/>
                    </w:trPr>
                    <w:tc>
                      <w:tcPr>
                        <w:tcW w:w="5000" w:type="pct"/>
                        <w:vAlign w:val="center"/>
                        <w:hideMark/>
                      </w:tcPr>
                      <w:p w:rsidR="00354CCE" w:rsidRDefault="00354CCE">
                        <w:pPr>
                          <w:spacing w:line="0" w:lineRule="atLeast"/>
                          <w:rPr>
                            <w:rFonts w:ascii="Arial" w:eastAsia="Times New Roman" w:hAnsi="Arial" w:cs="Arial"/>
                            <w:color w:val="000000"/>
                            <w:sz w:val="2"/>
                            <w:szCs w:val="2"/>
                          </w:rPr>
                        </w:pPr>
                        <w:r>
                          <w:rPr>
                            <w:rFonts w:ascii="Arial" w:eastAsia="Times New Roman" w:hAnsi="Arial" w:cs="Arial"/>
                            <w:noProof/>
                            <w:color w:val="000000"/>
                            <w:sz w:val="2"/>
                            <w:szCs w:val="2"/>
                          </w:rPr>
                          <w:drawing>
                            <wp:inline distT="0" distB="0" distL="0" distR="0" wp14:anchorId="36A7B372" wp14:editId="5A9BFFD8">
                              <wp:extent cx="7620" cy="7620"/>
                              <wp:effectExtent l="0" t="0" r="0" b="0"/>
                              <wp:docPr id="1" name="Picture 1" descr="http://info.ascassociation.org/acton/image/tran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fo.ascassociation.org/acton/image/tran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354CCE" w:rsidRDefault="00354CCE">
                  <w:pPr>
                    <w:rPr>
                      <w:rFonts w:eastAsia="Times New Roman"/>
                      <w:sz w:val="20"/>
                      <w:szCs w:val="20"/>
                    </w:rPr>
                  </w:pPr>
                </w:p>
              </w:tc>
            </w:tr>
          </w:tbl>
          <w:p w:rsidR="00354CCE" w:rsidRDefault="00354CCE">
            <w:pPr>
              <w:rPr>
                <w:rFonts w:eastAsia="Times New Roman"/>
                <w:sz w:val="20"/>
                <w:szCs w:val="20"/>
              </w:rPr>
            </w:pPr>
          </w:p>
        </w:tc>
      </w:tr>
    </w:tbl>
    <w:p w:rsidR="000D503A" w:rsidRDefault="000D503A"/>
    <w:sectPr w:rsidR="000D5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CE"/>
    <w:rsid w:val="000D503A"/>
    <w:rsid w:val="0035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CE"/>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354C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54CCE"/>
    <w:rPr>
      <w:rFonts w:ascii="Times New Roman" w:hAnsi="Times New Roman" w:cs="Times New Roman"/>
      <w:b/>
      <w:bCs/>
      <w:sz w:val="36"/>
      <w:szCs w:val="36"/>
    </w:rPr>
  </w:style>
  <w:style w:type="character" w:styleId="Hyperlink">
    <w:name w:val="Hyperlink"/>
    <w:basedOn w:val="DefaultParagraphFont"/>
    <w:uiPriority w:val="99"/>
    <w:semiHidden/>
    <w:unhideWhenUsed/>
    <w:rsid w:val="00354CCE"/>
    <w:rPr>
      <w:rFonts w:ascii="Arial" w:hAnsi="Arial" w:cs="Arial" w:hint="default"/>
      <w:color w:val="0000FF"/>
      <w:sz w:val="22"/>
      <w:szCs w:val="22"/>
      <w:u w:val="single"/>
    </w:rPr>
  </w:style>
  <w:style w:type="character" w:styleId="Strong">
    <w:name w:val="Strong"/>
    <w:basedOn w:val="DefaultParagraphFont"/>
    <w:uiPriority w:val="22"/>
    <w:qFormat/>
    <w:rsid w:val="00354CCE"/>
    <w:rPr>
      <w:b/>
      <w:bCs/>
    </w:rPr>
  </w:style>
  <w:style w:type="character" w:styleId="Emphasis">
    <w:name w:val="Emphasis"/>
    <w:basedOn w:val="DefaultParagraphFont"/>
    <w:uiPriority w:val="20"/>
    <w:qFormat/>
    <w:rsid w:val="00354CCE"/>
    <w:rPr>
      <w:i/>
      <w:iCs/>
    </w:rPr>
  </w:style>
  <w:style w:type="paragraph" w:styleId="BalloonText">
    <w:name w:val="Balloon Text"/>
    <w:basedOn w:val="Normal"/>
    <w:link w:val="BalloonTextChar"/>
    <w:uiPriority w:val="99"/>
    <w:semiHidden/>
    <w:unhideWhenUsed/>
    <w:rsid w:val="00354CCE"/>
    <w:rPr>
      <w:rFonts w:ascii="Tahoma" w:hAnsi="Tahoma" w:cs="Tahoma"/>
      <w:sz w:val="16"/>
      <w:szCs w:val="16"/>
    </w:rPr>
  </w:style>
  <w:style w:type="character" w:customStyle="1" w:styleId="BalloonTextChar">
    <w:name w:val="Balloon Text Char"/>
    <w:basedOn w:val="DefaultParagraphFont"/>
    <w:link w:val="BalloonText"/>
    <w:uiPriority w:val="99"/>
    <w:semiHidden/>
    <w:rsid w:val="00354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CE"/>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354C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54CCE"/>
    <w:rPr>
      <w:rFonts w:ascii="Times New Roman" w:hAnsi="Times New Roman" w:cs="Times New Roman"/>
      <w:b/>
      <w:bCs/>
      <w:sz w:val="36"/>
      <w:szCs w:val="36"/>
    </w:rPr>
  </w:style>
  <w:style w:type="character" w:styleId="Hyperlink">
    <w:name w:val="Hyperlink"/>
    <w:basedOn w:val="DefaultParagraphFont"/>
    <w:uiPriority w:val="99"/>
    <w:semiHidden/>
    <w:unhideWhenUsed/>
    <w:rsid w:val="00354CCE"/>
    <w:rPr>
      <w:rFonts w:ascii="Arial" w:hAnsi="Arial" w:cs="Arial" w:hint="default"/>
      <w:color w:val="0000FF"/>
      <w:sz w:val="22"/>
      <w:szCs w:val="22"/>
      <w:u w:val="single"/>
    </w:rPr>
  </w:style>
  <w:style w:type="character" w:styleId="Strong">
    <w:name w:val="Strong"/>
    <w:basedOn w:val="DefaultParagraphFont"/>
    <w:uiPriority w:val="22"/>
    <w:qFormat/>
    <w:rsid w:val="00354CCE"/>
    <w:rPr>
      <w:b/>
      <w:bCs/>
    </w:rPr>
  </w:style>
  <w:style w:type="character" w:styleId="Emphasis">
    <w:name w:val="Emphasis"/>
    <w:basedOn w:val="DefaultParagraphFont"/>
    <w:uiPriority w:val="20"/>
    <w:qFormat/>
    <w:rsid w:val="00354CCE"/>
    <w:rPr>
      <w:i/>
      <w:iCs/>
    </w:rPr>
  </w:style>
  <w:style w:type="paragraph" w:styleId="BalloonText">
    <w:name w:val="Balloon Text"/>
    <w:basedOn w:val="Normal"/>
    <w:link w:val="BalloonTextChar"/>
    <w:uiPriority w:val="99"/>
    <w:semiHidden/>
    <w:unhideWhenUsed/>
    <w:rsid w:val="00354CCE"/>
    <w:rPr>
      <w:rFonts w:ascii="Tahoma" w:hAnsi="Tahoma" w:cs="Tahoma"/>
      <w:sz w:val="16"/>
      <w:szCs w:val="16"/>
    </w:rPr>
  </w:style>
  <w:style w:type="character" w:customStyle="1" w:styleId="BalloonTextChar">
    <w:name w:val="Balloon Text Char"/>
    <w:basedOn w:val="DefaultParagraphFont"/>
    <w:link w:val="BalloonText"/>
    <w:uiPriority w:val="99"/>
    <w:semiHidden/>
    <w:rsid w:val="00354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8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Hyatt, Andrea</dc:creator>
  <cp:lastModifiedBy>Hyatt, Andrea</cp:lastModifiedBy>
  <cp:revision>1</cp:revision>
  <dcterms:created xsi:type="dcterms:W3CDTF">2018-07-26T17:41:00Z</dcterms:created>
  <dcterms:modified xsi:type="dcterms:W3CDTF">2018-07-26T17:46:00Z</dcterms:modified>
</cp:coreProperties>
</file>